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3D1" w:rsidRPr="00FC1F8D" w:rsidRDefault="0098545A" w:rsidP="00FC1F8D">
      <w:pPr>
        <w:spacing w:line="360" w:lineRule="auto"/>
        <w:jc w:val="center"/>
        <w:rPr>
          <w:rFonts w:asciiTheme="majorEastAsia" w:eastAsiaTheme="majorEastAsia" w:hAnsiTheme="majorEastAsia"/>
          <w:b/>
          <w:sz w:val="28"/>
          <w:szCs w:val="28"/>
        </w:rPr>
      </w:pPr>
      <w:r w:rsidRPr="00FC1F8D">
        <w:rPr>
          <w:rFonts w:asciiTheme="majorEastAsia" w:eastAsiaTheme="majorEastAsia" w:hAnsiTheme="majorEastAsia"/>
          <w:b/>
          <w:sz w:val="28"/>
          <w:szCs w:val="28"/>
        </w:rPr>
        <w:t>关于印发《关于全面推进证券期货纠纷多元化解机制建设的意见》的通知</w:t>
      </w:r>
      <w:r w:rsidRPr="00FC1F8D">
        <w:rPr>
          <w:rFonts w:asciiTheme="majorEastAsia" w:eastAsiaTheme="majorEastAsia" w:hAnsiTheme="majorEastAsia"/>
          <w:b/>
          <w:sz w:val="28"/>
          <w:szCs w:val="28"/>
        </w:rPr>
        <w:cr/>
      </w:r>
    </w:p>
    <w:p w:rsidR="008D23D1" w:rsidRPr="00FC1F8D" w:rsidRDefault="0098545A" w:rsidP="00FC1F8D">
      <w:pPr>
        <w:spacing w:line="360" w:lineRule="auto"/>
        <w:rPr>
          <w:rFonts w:asciiTheme="minorEastAsia" w:hAnsiTheme="minorEastAsia"/>
          <w:szCs w:val="21"/>
        </w:rPr>
      </w:pPr>
      <w:r w:rsidRPr="00FC1F8D">
        <w:rPr>
          <w:rFonts w:asciiTheme="minorEastAsia" w:hAnsiTheme="minorEastAsia"/>
          <w:szCs w:val="21"/>
        </w:rPr>
        <w:t>各省、自治区、直辖市高级人民法院，新疆维吾尔自治区高级人民法院生产建设兵团分院；中国证监会各派出机构、各交易所、各下属单位、各协会：</w:t>
      </w:r>
      <w:r w:rsidRPr="00FC1F8D">
        <w:rPr>
          <w:rFonts w:asciiTheme="minorEastAsia" w:hAnsiTheme="minorEastAsia"/>
          <w:szCs w:val="21"/>
        </w:rPr>
        <w:cr/>
      </w:r>
    </w:p>
    <w:p w:rsidR="008D23D1" w:rsidRPr="00FC1F8D" w:rsidRDefault="0098545A" w:rsidP="00FC1F8D">
      <w:pPr>
        <w:spacing w:line="360" w:lineRule="auto"/>
        <w:rPr>
          <w:rFonts w:asciiTheme="minorEastAsia" w:hAnsiTheme="minorEastAsia"/>
          <w:szCs w:val="21"/>
        </w:rPr>
      </w:pPr>
      <w:r w:rsidRPr="00FC1F8D">
        <w:rPr>
          <w:rFonts w:asciiTheme="minorEastAsia" w:hAnsiTheme="minorEastAsia"/>
          <w:szCs w:val="21"/>
        </w:rPr>
        <w:t>   </w:t>
      </w:r>
      <w:r w:rsidRPr="00FC1F8D">
        <w:rPr>
          <w:rFonts w:asciiTheme="minorEastAsia" w:hAnsiTheme="minorEastAsia"/>
          <w:szCs w:val="21"/>
        </w:rPr>
        <w:t>现将《最高人民法院、中国证券监督管理委员会关于全面推进证券期货纠纷多元化解机制建设的意见》印发给你们，请认真贯彻执行。</w:t>
      </w:r>
      <w:r w:rsidRPr="00FC1F8D">
        <w:rPr>
          <w:rFonts w:asciiTheme="minorEastAsia" w:hAnsiTheme="minorEastAsia"/>
          <w:szCs w:val="21"/>
        </w:rPr>
        <w:cr/>
      </w:r>
    </w:p>
    <w:p w:rsidR="008D23D1" w:rsidRPr="00FC1F8D" w:rsidRDefault="0098545A" w:rsidP="00FC1F8D">
      <w:pPr>
        <w:spacing w:line="360" w:lineRule="auto"/>
        <w:jc w:val="right"/>
        <w:rPr>
          <w:rFonts w:asciiTheme="minorEastAsia" w:hAnsiTheme="minorEastAsia"/>
          <w:szCs w:val="21"/>
        </w:rPr>
      </w:pPr>
      <w:r w:rsidRPr="00FC1F8D">
        <w:rPr>
          <w:rFonts w:asciiTheme="minorEastAsia" w:hAnsiTheme="minorEastAsia"/>
          <w:szCs w:val="21"/>
        </w:rPr>
        <w:t>中国证券监督管理委员会</w:t>
      </w:r>
      <w:r w:rsidRPr="00FC1F8D">
        <w:rPr>
          <w:rFonts w:asciiTheme="minorEastAsia" w:hAnsiTheme="minorEastAsia"/>
          <w:szCs w:val="21"/>
        </w:rPr>
        <w:cr/>
      </w:r>
    </w:p>
    <w:p w:rsidR="008D23D1" w:rsidRPr="00FC1F8D" w:rsidRDefault="0098545A" w:rsidP="00FC1F8D">
      <w:pPr>
        <w:spacing w:line="360" w:lineRule="auto"/>
        <w:jc w:val="right"/>
        <w:rPr>
          <w:rFonts w:asciiTheme="minorEastAsia" w:hAnsiTheme="minorEastAsia"/>
          <w:szCs w:val="21"/>
        </w:rPr>
      </w:pPr>
      <w:r w:rsidRPr="00FC1F8D">
        <w:rPr>
          <w:rFonts w:asciiTheme="minorEastAsia" w:hAnsiTheme="minorEastAsia"/>
          <w:szCs w:val="21"/>
        </w:rPr>
        <w:t xml:space="preserve">2018-11-13 </w:t>
      </w:r>
      <w:r w:rsidRPr="00FC1F8D">
        <w:rPr>
          <w:rFonts w:asciiTheme="minorEastAsia" w:hAnsiTheme="minorEastAsia"/>
          <w:szCs w:val="21"/>
        </w:rPr>
        <w:cr/>
      </w:r>
    </w:p>
    <w:p w:rsidR="008D23D1" w:rsidRPr="00FC1F8D" w:rsidRDefault="0098545A" w:rsidP="00FC1F8D">
      <w:pPr>
        <w:spacing w:line="360" w:lineRule="auto"/>
        <w:rPr>
          <w:rFonts w:asciiTheme="minorEastAsia" w:hAnsiTheme="minorEastAsia"/>
          <w:szCs w:val="21"/>
        </w:rPr>
      </w:pPr>
      <w:r w:rsidRPr="00FC1F8D">
        <w:rPr>
          <w:rFonts w:asciiTheme="minorEastAsia" w:hAnsiTheme="minorEastAsia"/>
          <w:szCs w:val="21"/>
        </w:rPr>
        <w:t>一、工作目标</w:t>
      </w:r>
      <w:r w:rsidRPr="00FC1F8D">
        <w:rPr>
          <w:rFonts w:asciiTheme="minorEastAsia" w:hAnsiTheme="minorEastAsia"/>
          <w:szCs w:val="21"/>
        </w:rPr>
        <w:cr/>
      </w:r>
    </w:p>
    <w:p w:rsidR="008D23D1" w:rsidRPr="00FC1F8D" w:rsidRDefault="0098545A" w:rsidP="00FC1F8D">
      <w:pPr>
        <w:spacing w:line="360" w:lineRule="auto"/>
        <w:rPr>
          <w:rFonts w:asciiTheme="minorEastAsia" w:hAnsiTheme="minorEastAsia"/>
          <w:szCs w:val="21"/>
        </w:rPr>
      </w:pPr>
      <w:r w:rsidRPr="00FC1F8D">
        <w:rPr>
          <w:rFonts w:asciiTheme="minorEastAsia" w:hAnsiTheme="minorEastAsia"/>
          <w:szCs w:val="21"/>
        </w:rPr>
        <w:t xml:space="preserve">　　</w:t>
      </w:r>
      <w:r w:rsidRPr="00FC1F8D">
        <w:rPr>
          <w:rFonts w:asciiTheme="minorEastAsia" w:hAnsiTheme="minorEastAsia"/>
          <w:szCs w:val="21"/>
        </w:rPr>
        <w:t>1.</w:t>
      </w:r>
      <w:r w:rsidRPr="00FC1F8D">
        <w:rPr>
          <w:rFonts w:asciiTheme="minorEastAsia" w:hAnsiTheme="minorEastAsia"/>
          <w:szCs w:val="21"/>
        </w:rPr>
        <w:t>建立、健全有机衔接、协调联动、高效便民的证券期货纠纷多元化解机制，依法保护投资者的合法权益，维护公开、公平、公正的资本市场秩序，促进资本市场的和谐健康发展。</w:t>
      </w:r>
      <w:r w:rsidRPr="00FC1F8D">
        <w:rPr>
          <w:rFonts w:asciiTheme="minorEastAsia" w:hAnsiTheme="minorEastAsia"/>
          <w:szCs w:val="21"/>
        </w:rPr>
        <w:cr/>
      </w:r>
    </w:p>
    <w:p w:rsidR="008D23D1" w:rsidRPr="00FC1F8D" w:rsidRDefault="0098545A" w:rsidP="00FC1F8D">
      <w:pPr>
        <w:spacing w:line="360" w:lineRule="auto"/>
        <w:rPr>
          <w:rFonts w:asciiTheme="minorEastAsia" w:hAnsiTheme="minorEastAsia"/>
          <w:szCs w:val="21"/>
        </w:rPr>
      </w:pPr>
      <w:r w:rsidRPr="00FC1F8D">
        <w:rPr>
          <w:rFonts w:asciiTheme="minorEastAsia" w:hAnsiTheme="minorEastAsia"/>
          <w:szCs w:val="21"/>
        </w:rPr>
        <w:t>二、工作原则</w:t>
      </w:r>
    </w:p>
    <w:p w:rsidR="008D23D1" w:rsidRPr="00FC1F8D" w:rsidRDefault="0098545A" w:rsidP="00FC1F8D">
      <w:pPr>
        <w:spacing w:line="360" w:lineRule="auto"/>
        <w:rPr>
          <w:rFonts w:asciiTheme="minorEastAsia" w:hAnsiTheme="minorEastAsia"/>
          <w:szCs w:val="21"/>
        </w:rPr>
      </w:pPr>
      <w:r w:rsidRPr="00FC1F8D">
        <w:rPr>
          <w:rFonts w:asciiTheme="minorEastAsia" w:hAnsiTheme="minorEastAsia"/>
          <w:szCs w:val="21"/>
        </w:rPr>
        <w:t xml:space="preserve">　　</w:t>
      </w:r>
      <w:r w:rsidRPr="00FC1F8D">
        <w:rPr>
          <w:rFonts w:asciiTheme="minorEastAsia" w:hAnsiTheme="minorEastAsia"/>
          <w:szCs w:val="21"/>
        </w:rPr>
        <w:t>2.</w:t>
      </w:r>
      <w:r w:rsidRPr="00FC1F8D">
        <w:rPr>
          <w:rFonts w:asciiTheme="minorEastAsia" w:hAnsiTheme="minorEastAsia"/>
          <w:szCs w:val="21"/>
        </w:rPr>
        <w:t>依法公正原则。充分尊重投资者的程序选择权，严格遵守法定程序。调解工作的开展不得违反法律的基本原则，不得损害国家利益、社会公共利益和第三人合法权益。</w:t>
      </w:r>
    </w:p>
    <w:p w:rsidR="008D23D1" w:rsidRPr="00FC1F8D" w:rsidRDefault="0098545A" w:rsidP="00FC1F8D">
      <w:pPr>
        <w:spacing w:line="360" w:lineRule="auto"/>
        <w:rPr>
          <w:rFonts w:asciiTheme="minorEastAsia" w:hAnsiTheme="minorEastAsia"/>
          <w:szCs w:val="21"/>
        </w:rPr>
      </w:pPr>
      <w:r w:rsidRPr="00FC1F8D">
        <w:rPr>
          <w:rFonts w:asciiTheme="minorEastAsia" w:hAnsiTheme="minorEastAsia"/>
          <w:szCs w:val="21"/>
        </w:rPr>
        <w:t xml:space="preserve">　　</w:t>
      </w:r>
      <w:r w:rsidRPr="00FC1F8D">
        <w:rPr>
          <w:rFonts w:asciiTheme="minorEastAsia" w:hAnsiTheme="minorEastAsia"/>
          <w:szCs w:val="21"/>
        </w:rPr>
        <w:t>3.</w:t>
      </w:r>
      <w:r w:rsidRPr="00FC1F8D">
        <w:rPr>
          <w:rFonts w:asciiTheme="minorEastAsia" w:hAnsiTheme="minorEastAsia"/>
          <w:szCs w:val="21"/>
        </w:rPr>
        <w:t>灵活便民原则。着眼于纠纷的实际情况，灵活确定纠纷化解的方式、时间和地点，尽可能方便投资者，降低当事人解决纠纷的成本。调解工作应当明确办理时限，提高工作效率，不得久</w:t>
      </w:r>
      <w:r w:rsidRPr="00FC1F8D">
        <w:rPr>
          <w:rFonts w:asciiTheme="minorEastAsia" w:hAnsiTheme="minorEastAsia"/>
          <w:szCs w:val="21"/>
        </w:rPr>
        <w:t>调不决。</w:t>
      </w:r>
    </w:p>
    <w:p w:rsidR="008D23D1" w:rsidRPr="00FC1F8D" w:rsidRDefault="0098545A" w:rsidP="00FC1F8D">
      <w:pPr>
        <w:spacing w:line="360" w:lineRule="auto"/>
        <w:rPr>
          <w:rFonts w:asciiTheme="minorEastAsia" w:hAnsiTheme="minorEastAsia"/>
          <w:szCs w:val="21"/>
        </w:rPr>
      </w:pPr>
      <w:r w:rsidRPr="00FC1F8D">
        <w:rPr>
          <w:rFonts w:asciiTheme="minorEastAsia" w:hAnsiTheme="minorEastAsia"/>
          <w:szCs w:val="21"/>
        </w:rPr>
        <w:t xml:space="preserve">　　</w:t>
      </w:r>
      <w:r w:rsidRPr="00FC1F8D">
        <w:rPr>
          <w:rFonts w:asciiTheme="minorEastAsia" w:hAnsiTheme="minorEastAsia"/>
          <w:szCs w:val="21"/>
        </w:rPr>
        <w:t>4.</w:t>
      </w:r>
      <w:r w:rsidRPr="00FC1F8D">
        <w:rPr>
          <w:rFonts w:asciiTheme="minorEastAsia" w:hAnsiTheme="minorEastAsia"/>
          <w:szCs w:val="21"/>
        </w:rPr>
        <w:t>注重预防原则。发挥调解的矛盾预防和源头治理功能，推动健康投资文化、投资理念、投资知识的传播。人民法院、证券期货监管机构及调解组织要加强信息共享，防止矛盾纠纷积累、激化。</w:t>
      </w:r>
      <w:r w:rsidRPr="00FC1F8D">
        <w:rPr>
          <w:rFonts w:asciiTheme="minorEastAsia" w:hAnsiTheme="minorEastAsia"/>
          <w:szCs w:val="21"/>
        </w:rPr>
        <w:cr/>
      </w:r>
    </w:p>
    <w:p w:rsidR="008D23D1" w:rsidRPr="00FC1F8D" w:rsidRDefault="0098545A" w:rsidP="00FC1F8D">
      <w:pPr>
        <w:spacing w:line="360" w:lineRule="auto"/>
        <w:rPr>
          <w:rFonts w:asciiTheme="minorEastAsia" w:hAnsiTheme="minorEastAsia"/>
          <w:szCs w:val="21"/>
        </w:rPr>
      </w:pPr>
      <w:r w:rsidRPr="00FC1F8D">
        <w:rPr>
          <w:rFonts w:asciiTheme="minorEastAsia" w:hAnsiTheme="minorEastAsia"/>
          <w:szCs w:val="21"/>
        </w:rPr>
        <w:t>三、工作内容</w:t>
      </w:r>
    </w:p>
    <w:p w:rsidR="008D23D1" w:rsidRPr="00FC1F8D" w:rsidRDefault="0098545A" w:rsidP="00FC1F8D">
      <w:pPr>
        <w:spacing w:line="360" w:lineRule="auto"/>
        <w:rPr>
          <w:rFonts w:asciiTheme="minorEastAsia" w:hAnsiTheme="minorEastAsia"/>
          <w:szCs w:val="21"/>
        </w:rPr>
      </w:pPr>
      <w:r w:rsidRPr="00FC1F8D">
        <w:rPr>
          <w:rFonts w:asciiTheme="minorEastAsia" w:hAnsiTheme="minorEastAsia"/>
          <w:szCs w:val="21"/>
        </w:rPr>
        <w:t xml:space="preserve">　　（一）加强调解组织管理</w:t>
      </w:r>
    </w:p>
    <w:p w:rsidR="008D23D1" w:rsidRPr="00FC1F8D" w:rsidRDefault="0098545A" w:rsidP="00FC1F8D">
      <w:pPr>
        <w:spacing w:line="360" w:lineRule="auto"/>
        <w:rPr>
          <w:rFonts w:asciiTheme="minorEastAsia" w:hAnsiTheme="minorEastAsia"/>
          <w:szCs w:val="21"/>
        </w:rPr>
      </w:pPr>
      <w:r w:rsidRPr="00FC1F8D">
        <w:rPr>
          <w:rFonts w:asciiTheme="minorEastAsia" w:hAnsiTheme="minorEastAsia"/>
          <w:szCs w:val="21"/>
        </w:rPr>
        <w:t xml:space="preserve">　　</w:t>
      </w:r>
      <w:r w:rsidRPr="00FC1F8D">
        <w:rPr>
          <w:rFonts w:asciiTheme="minorEastAsia" w:hAnsiTheme="minorEastAsia"/>
          <w:szCs w:val="21"/>
        </w:rPr>
        <w:t>5.</w:t>
      </w:r>
      <w:r w:rsidRPr="00FC1F8D">
        <w:rPr>
          <w:rFonts w:asciiTheme="minorEastAsia" w:hAnsiTheme="minorEastAsia"/>
          <w:szCs w:val="21"/>
        </w:rPr>
        <w:t>加强证券期货调解组织建设。证券期货调解组织是指由证券期货监管机构、行业组织等</w:t>
      </w:r>
      <w:r w:rsidRPr="00FC1F8D">
        <w:rPr>
          <w:rFonts w:asciiTheme="minorEastAsia" w:hAnsiTheme="minorEastAsia"/>
          <w:szCs w:val="21"/>
        </w:rPr>
        <w:lastRenderedPageBreak/>
        <w:t>设立或实际管理的调解机构，应当具有规范的组织形式、固定的办公场所及调解场地、专业的调解人员和健全的调解工作制度。中国证券监督管理委员会负责证券期货调解组织的认定和管理工作，定期商最高人民法院</w:t>
      </w:r>
      <w:r w:rsidRPr="00FC1F8D">
        <w:rPr>
          <w:rFonts w:asciiTheme="minorEastAsia" w:hAnsiTheme="minorEastAsia"/>
          <w:szCs w:val="21"/>
        </w:rPr>
        <w:t>后公布。</w:t>
      </w:r>
    </w:p>
    <w:p w:rsidR="008D23D1" w:rsidRPr="00FC1F8D" w:rsidRDefault="0098545A" w:rsidP="00FC1F8D">
      <w:pPr>
        <w:spacing w:line="360" w:lineRule="auto"/>
        <w:rPr>
          <w:rFonts w:asciiTheme="minorEastAsia" w:hAnsiTheme="minorEastAsia"/>
          <w:szCs w:val="21"/>
        </w:rPr>
      </w:pPr>
      <w:r w:rsidRPr="00FC1F8D">
        <w:rPr>
          <w:rFonts w:asciiTheme="minorEastAsia" w:hAnsiTheme="minorEastAsia"/>
          <w:szCs w:val="21"/>
        </w:rPr>
        <w:t xml:space="preserve">　　</w:t>
      </w:r>
      <w:r w:rsidRPr="00FC1F8D">
        <w:rPr>
          <w:rFonts w:asciiTheme="minorEastAsia" w:hAnsiTheme="minorEastAsia"/>
          <w:szCs w:val="21"/>
        </w:rPr>
        <w:t>6.</w:t>
      </w:r>
      <w:r w:rsidRPr="00FC1F8D">
        <w:rPr>
          <w:rFonts w:asciiTheme="minorEastAsia" w:hAnsiTheme="minorEastAsia"/>
          <w:szCs w:val="21"/>
        </w:rPr>
        <w:t>规范调解组织内部管理。调解组织应当制定工作制度和流程管理，建立科学的考核评估体系和责任追究制度。</w:t>
      </w:r>
    </w:p>
    <w:p w:rsidR="008D23D1" w:rsidRPr="00FC1F8D" w:rsidRDefault="0098545A" w:rsidP="00FC1F8D">
      <w:pPr>
        <w:spacing w:line="360" w:lineRule="auto"/>
        <w:rPr>
          <w:rFonts w:asciiTheme="minorEastAsia" w:hAnsiTheme="minorEastAsia"/>
          <w:szCs w:val="21"/>
        </w:rPr>
      </w:pPr>
      <w:r w:rsidRPr="00FC1F8D">
        <w:rPr>
          <w:rFonts w:asciiTheme="minorEastAsia" w:hAnsiTheme="minorEastAsia"/>
          <w:szCs w:val="21"/>
        </w:rPr>
        <w:t xml:space="preserve">　　</w:t>
      </w:r>
      <w:r w:rsidRPr="00FC1F8D">
        <w:rPr>
          <w:rFonts w:asciiTheme="minorEastAsia" w:hAnsiTheme="minorEastAsia"/>
          <w:szCs w:val="21"/>
        </w:rPr>
        <w:t>7.</w:t>
      </w:r>
      <w:r w:rsidRPr="00FC1F8D">
        <w:rPr>
          <w:rFonts w:asciiTheme="minorEastAsia" w:hAnsiTheme="minorEastAsia"/>
          <w:szCs w:val="21"/>
        </w:rPr>
        <w:t>加强调解员队伍建设。调解组织应当加强调解员政治思想、职业道德建设和专业技能培训，完善调解员从业基本要求，制定调解员工作指南，建立、完善专职或专家调解员制度。</w:t>
      </w:r>
    </w:p>
    <w:p w:rsidR="008D23D1" w:rsidRPr="00FC1F8D" w:rsidRDefault="0098545A" w:rsidP="00FC1F8D">
      <w:pPr>
        <w:spacing w:line="360" w:lineRule="auto"/>
        <w:rPr>
          <w:rFonts w:asciiTheme="minorEastAsia" w:hAnsiTheme="minorEastAsia"/>
          <w:szCs w:val="21"/>
        </w:rPr>
      </w:pPr>
      <w:r w:rsidRPr="00FC1F8D">
        <w:rPr>
          <w:rFonts w:asciiTheme="minorEastAsia" w:hAnsiTheme="minorEastAsia"/>
          <w:szCs w:val="21"/>
        </w:rPr>
        <w:t xml:space="preserve">　　</w:t>
      </w:r>
      <w:r w:rsidRPr="00FC1F8D">
        <w:rPr>
          <w:rFonts w:asciiTheme="minorEastAsia" w:hAnsiTheme="minorEastAsia"/>
          <w:szCs w:val="21"/>
        </w:rPr>
        <w:t>8.</w:t>
      </w:r>
      <w:r w:rsidRPr="00FC1F8D">
        <w:rPr>
          <w:rFonts w:asciiTheme="minorEastAsia" w:hAnsiTheme="minorEastAsia"/>
          <w:szCs w:val="21"/>
        </w:rPr>
        <w:t>调解组织受理中小投资者的纠纷调解申请，不收取费用。</w:t>
      </w:r>
    </w:p>
    <w:p w:rsidR="008D23D1" w:rsidRPr="00FC1F8D" w:rsidRDefault="0098545A" w:rsidP="00FC1F8D">
      <w:pPr>
        <w:spacing w:line="360" w:lineRule="auto"/>
        <w:rPr>
          <w:rFonts w:asciiTheme="minorEastAsia" w:hAnsiTheme="minorEastAsia"/>
          <w:szCs w:val="21"/>
        </w:rPr>
      </w:pPr>
      <w:r w:rsidRPr="00FC1F8D">
        <w:rPr>
          <w:rFonts w:asciiTheme="minorEastAsia" w:hAnsiTheme="minorEastAsia"/>
          <w:szCs w:val="21"/>
        </w:rPr>
        <w:t xml:space="preserve">　　</w:t>
      </w:r>
      <w:r w:rsidRPr="00FC1F8D">
        <w:rPr>
          <w:rFonts w:asciiTheme="minorEastAsia" w:hAnsiTheme="minorEastAsia"/>
          <w:szCs w:val="21"/>
        </w:rPr>
        <w:t>9.</w:t>
      </w:r>
      <w:r w:rsidRPr="00FC1F8D">
        <w:rPr>
          <w:rFonts w:asciiTheme="minorEastAsia" w:hAnsiTheme="minorEastAsia"/>
          <w:szCs w:val="21"/>
        </w:rPr>
        <w:t>建立证券期货纠纷特邀调解组织和特邀调解员名册制度。各级人民法院应当将调解组织及其调解员纳入名册，做好动态更新和维护，并向证券期货纠纷当事人提供完整、准确的</w:t>
      </w:r>
      <w:r w:rsidRPr="00FC1F8D">
        <w:rPr>
          <w:rFonts w:asciiTheme="minorEastAsia" w:hAnsiTheme="minorEastAsia"/>
          <w:szCs w:val="21"/>
        </w:rPr>
        <w:t>调解组织和调解员信息，供当事人自愿选择。</w:t>
      </w:r>
      <w:r w:rsidRPr="00FC1F8D">
        <w:rPr>
          <w:rFonts w:asciiTheme="minorEastAsia" w:hAnsiTheme="minorEastAsia"/>
          <w:szCs w:val="21"/>
        </w:rPr>
        <w:cr/>
      </w:r>
    </w:p>
    <w:p w:rsidR="008D23D1" w:rsidRPr="00FC1F8D" w:rsidRDefault="0098545A" w:rsidP="00FC1F8D">
      <w:pPr>
        <w:spacing w:line="360" w:lineRule="auto"/>
        <w:rPr>
          <w:rFonts w:asciiTheme="minorEastAsia" w:hAnsiTheme="minorEastAsia"/>
          <w:szCs w:val="21"/>
        </w:rPr>
      </w:pPr>
      <w:r w:rsidRPr="00FC1F8D">
        <w:rPr>
          <w:rFonts w:asciiTheme="minorEastAsia" w:hAnsiTheme="minorEastAsia"/>
          <w:szCs w:val="21"/>
        </w:rPr>
        <w:t xml:space="preserve">　　（二）健全诉调对接工作机制</w:t>
      </w:r>
    </w:p>
    <w:p w:rsidR="008D23D1" w:rsidRPr="00FC1F8D" w:rsidRDefault="0098545A" w:rsidP="00FC1F8D">
      <w:pPr>
        <w:spacing w:line="360" w:lineRule="auto"/>
        <w:rPr>
          <w:rFonts w:asciiTheme="minorEastAsia" w:hAnsiTheme="minorEastAsia"/>
          <w:szCs w:val="21"/>
        </w:rPr>
      </w:pPr>
      <w:r w:rsidRPr="00FC1F8D">
        <w:rPr>
          <w:rFonts w:asciiTheme="minorEastAsia" w:hAnsiTheme="minorEastAsia"/>
          <w:szCs w:val="21"/>
        </w:rPr>
        <w:t xml:space="preserve">　　</w:t>
      </w:r>
      <w:r w:rsidRPr="00FC1F8D">
        <w:rPr>
          <w:rFonts w:asciiTheme="minorEastAsia" w:hAnsiTheme="minorEastAsia"/>
          <w:szCs w:val="21"/>
        </w:rPr>
        <w:t>10.</w:t>
      </w:r>
      <w:r w:rsidRPr="00FC1F8D">
        <w:rPr>
          <w:rFonts w:asciiTheme="minorEastAsia" w:hAnsiTheme="minorEastAsia"/>
          <w:szCs w:val="21"/>
        </w:rPr>
        <w:t>证券期货纠纷多元化解机制范围。自然人、法人和非法人组织之间因证券、期货、基金等资本市场投资业务产生的合同和侵权责任纠纷，均属调解范围。证券期货监管机构、调解组织的非诉讼调解、先行赔付等，均可与司法诉讼对接。</w:t>
      </w:r>
    </w:p>
    <w:p w:rsidR="008D23D1" w:rsidRPr="00FC1F8D" w:rsidRDefault="0098545A" w:rsidP="00FC1F8D">
      <w:pPr>
        <w:spacing w:line="360" w:lineRule="auto"/>
        <w:rPr>
          <w:rFonts w:asciiTheme="minorEastAsia" w:hAnsiTheme="minorEastAsia"/>
          <w:szCs w:val="21"/>
        </w:rPr>
      </w:pPr>
      <w:r w:rsidRPr="00FC1F8D">
        <w:rPr>
          <w:rFonts w:asciiTheme="minorEastAsia" w:hAnsiTheme="minorEastAsia"/>
          <w:szCs w:val="21"/>
        </w:rPr>
        <w:t xml:space="preserve">　　</w:t>
      </w:r>
      <w:r w:rsidRPr="00FC1F8D">
        <w:rPr>
          <w:rFonts w:asciiTheme="minorEastAsia" w:hAnsiTheme="minorEastAsia"/>
          <w:szCs w:val="21"/>
        </w:rPr>
        <w:t>11.</w:t>
      </w:r>
      <w:r w:rsidRPr="00FC1F8D">
        <w:rPr>
          <w:rFonts w:asciiTheme="minorEastAsia" w:hAnsiTheme="minorEastAsia"/>
          <w:szCs w:val="21"/>
        </w:rPr>
        <w:t>调解协议的司法确认制度。经调解组织主持调解达成的调解协议，具有民事合同性质。经调解员和调解组织签字盖章后，当事人可以申请有管辖权的人民法院确认其效力。当事人申请确认调解协议的案件，按照《中华人民共和国民事</w:t>
      </w:r>
      <w:r w:rsidRPr="00FC1F8D">
        <w:rPr>
          <w:rFonts w:asciiTheme="minorEastAsia" w:hAnsiTheme="minorEastAsia"/>
          <w:szCs w:val="21"/>
        </w:rPr>
        <w:t>诉讼法》第十五章第六节和相关司法解释的规定执行。</w:t>
      </w:r>
    </w:p>
    <w:p w:rsidR="008D23D1" w:rsidRPr="00FC1F8D" w:rsidRDefault="0098545A" w:rsidP="00FC1F8D">
      <w:pPr>
        <w:spacing w:line="360" w:lineRule="auto"/>
        <w:rPr>
          <w:rFonts w:asciiTheme="minorEastAsia" w:hAnsiTheme="minorEastAsia"/>
          <w:szCs w:val="21"/>
        </w:rPr>
      </w:pPr>
      <w:r w:rsidRPr="00FC1F8D">
        <w:rPr>
          <w:rFonts w:asciiTheme="minorEastAsia" w:hAnsiTheme="minorEastAsia"/>
          <w:szCs w:val="21"/>
        </w:rPr>
        <w:t xml:space="preserve">　　经人民法院确认有效的具有明确给付主体和给付内容的调解协议，一方拒绝履行的，对方当事人可以申请人民法院强制执行。</w:t>
      </w:r>
    </w:p>
    <w:p w:rsidR="008D23D1" w:rsidRPr="00FC1F8D" w:rsidRDefault="0098545A" w:rsidP="00FC1F8D">
      <w:pPr>
        <w:spacing w:line="360" w:lineRule="auto"/>
        <w:rPr>
          <w:rFonts w:asciiTheme="minorEastAsia" w:hAnsiTheme="minorEastAsia"/>
          <w:szCs w:val="21"/>
        </w:rPr>
      </w:pPr>
      <w:r w:rsidRPr="00FC1F8D">
        <w:rPr>
          <w:rFonts w:asciiTheme="minorEastAsia" w:hAnsiTheme="minorEastAsia"/>
          <w:szCs w:val="21"/>
        </w:rPr>
        <w:t xml:space="preserve">　　</w:t>
      </w:r>
      <w:r w:rsidRPr="00FC1F8D">
        <w:rPr>
          <w:rFonts w:asciiTheme="minorEastAsia" w:hAnsiTheme="minorEastAsia"/>
          <w:szCs w:val="21"/>
        </w:rPr>
        <w:t>12.</w:t>
      </w:r>
      <w:r w:rsidRPr="00FC1F8D">
        <w:rPr>
          <w:rFonts w:asciiTheme="minorEastAsia" w:hAnsiTheme="minorEastAsia"/>
          <w:szCs w:val="21"/>
        </w:rPr>
        <w:t>落实委派调解或者委托调解机制。人民法院在受理和审理证券期货纠纷的过程中，应当依法充分行使释明权，经双方当事人同意，采取立案前委派、立案后委托、诉中邀请等方式，引导当事人通过调解组织解决纠纷。</w:t>
      </w:r>
    </w:p>
    <w:p w:rsidR="008D23D1" w:rsidRPr="00FC1F8D" w:rsidRDefault="0098545A" w:rsidP="00FC1F8D">
      <w:pPr>
        <w:spacing w:line="360" w:lineRule="auto"/>
        <w:rPr>
          <w:rFonts w:asciiTheme="minorEastAsia" w:hAnsiTheme="minorEastAsia"/>
          <w:szCs w:val="21"/>
        </w:rPr>
      </w:pPr>
      <w:r w:rsidRPr="00FC1F8D">
        <w:rPr>
          <w:rFonts w:asciiTheme="minorEastAsia" w:hAnsiTheme="minorEastAsia"/>
          <w:szCs w:val="21"/>
        </w:rPr>
        <w:t xml:space="preserve">　　经人民法院委派调解并达成调解协议、当事人申请司法确认的，由委派调解的人民法院依法受理。</w:t>
      </w:r>
    </w:p>
    <w:p w:rsidR="008D23D1" w:rsidRPr="00FC1F8D" w:rsidRDefault="0098545A" w:rsidP="00FC1F8D">
      <w:pPr>
        <w:spacing w:line="360" w:lineRule="auto"/>
        <w:rPr>
          <w:rFonts w:asciiTheme="minorEastAsia" w:hAnsiTheme="minorEastAsia"/>
          <w:szCs w:val="21"/>
        </w:rPr>
      </w:pPr>
      <w:r w:rsidRPr="00FC1F8D">
        <w:rPr>
          <w:rFonts w:asciiTheme="minorEastAsia" w:hAnsiTheme="minorEastAsia"/>
          <w:szCs w:val="21"/>
        </w:rPr>
        <w:t xml:space="preserve">　　</w:t>
      </w:r>
      <w:r w:rsidRPr="00FC1F8D">
        <w:rPr>
          <w:rFonts w:asciiTheme="minorEastAsia" w:hAnsiTheme="minorEastAsia"/>
          <w:szCs w:val="21"/>
        </w:rPr>
        <w:t>13.</w:t>
      </w:r>
      <w:r w:rsidRPr="00FC1F8D">
        <w:rPr>
          <w:rFonts w:asciiTheme="minorEastAsia" w:hAnsiTheme="minorEastAsia"/>
          <w:szCs w:val="21"/>
        </w:rPr>
        <w:t>建立示范判决机制。证券期货监管机构</w:t>
      </w:r>
      <w:r w:rsidRPr="00FC1F8D">
        <w:rPr>
          <w:rFonts w:asciiTheme="minorEastAsia" w:hAnsiTheme="minorEastAsia"/>
          <w:szCs w:val="21"/>
        </w:rPr>
        <w:t>在清理处置大规模群体性纠纷的过程中，可以将涉及投资者权利保护的相关事宜委托调解组织进行集中调解。对虚假陈述、内幕交易、操纵市场等违法行为引发的民事赔偿群体性纠纷，需要人民法院通过司法判决宣示法律规则、统一法律适用的，受诉人民法院可选取在事实认定、法律适用上具有代表性的若干个案作为示范案件，先行审理并及时作出判决；通过示范判决所确立的事实认定和法律适用标准，引导其他当</w:t>
      </w:r>
      <w:r w:rsidRPr="00FC1F8D">
        <w:rPr>
          <w:rFonts w:asciiTheme="minorEastAsia" w:hAnsiTheme="minorEastAsia"/>
          <w:szCs w:val="21"/>
        </w:rPr>
        <w:lastRenderedPageBreak/>
        <w:t>事人通过证券期货纠纷多元化解机制解决纠纷，降低投资者维权成本，提高矛盾化解效率。</w:t>
      </w:r>
    </w:p>
    <w:p w:rsidR="008D23D1" w:rsidRPr="00FC1F8D" w:rsidRDefault="0098545A" w:rsidP="00FC1F8D">
      <w:pPr>
        <w:spacing w:line="360" w:lineRule="auto"/>
        <w:rPr>
          <w:rFonts w:asciiTheme="minorEastAsia" w:hAnsiTheme="minorEastAsia"/>
          <w:szCs w:val="21"/>
        </w:rPr>
      </w:pPr>
      <w:r w:rsidRPr="00FC1F8D">
        <w:rPr>
          <w:rFonts w:asciiTheme="minorEastAsia" w:hAnsiTheme="minorEastAsia"/>
          <w:szCs w:val="21"/>
        </w:rPr>
        <w:t xml:space="preserve">　　</w:t>
      </w:r>
      <w:r w:rsidRPr="00FC1F8D">
        <w:rPr>
          <w:rFonts w:asciiTheme="minorEastAsia" w:hAnsiTheme="minorEastAsia"/>
          <w:szCs w:val="21"/>
        </w:rPr>
        <w:t>14.</w:t>
      </w:r>
      <w:r w:rsidRPr="00FC1F8D">
        <w:rPr>
          <w:rFonts w:asciiTheme="minorEastAsia" w:hAnsiTheme="minorEastAsia"/>
          <w:szCs w:val="21"/>
        </w:rPr>
        <w:t>建立小额速调机制。为更好化解资本市场纠纷，鼓励证券</w:t>
      </w:r>
      <w:r w:rsidRPr="00FC1F8D">
        <w:rPr>
          <w:rFonts w:asciiTheme="minorEastAsia" w:hAnsiTheme="minorEastAsia"/>
          <w:szCs w:val="21"/>
        </w:rPr>
        <w:t>期货市场经营主体基于自愿原则与调解组织事先签订协议，承诺在一定金额内无条件接受该调解组织提出的调解建议方案。纠纷发生后，经投资者申请，调解组织提出调解建议方案在该金额内的，如投资者同意，视为双方已自愿达成调解协议，证券期货市场经营主体应当接受。当事人就此申请司法确认该调解协议的，人民法院应当依法办理。</w:t>
      </w:r>
    </w:p>
    <w:p w:rsidR="008D23D1" w:rsidRPr="00FC1F8D" w:rsidRDefault="0098545A" w:rsidP="00FC1F8D">
      <w:pPr>
        <w:spacing w:line="360" w:lineRule="auto"/>
        <w:rPr>
          <w:rFonts w:asciiTheme="minorEastAsia" w:hAnsiTheme="minorEastAsia"/>
          <w:szCs w:val="21"/>
        </w:rPr>
      </w:pPr>
      <w:r w:rsidRPr="00FC1F8D">
        <w:rPr>
          <w:rFonts w:asciiTheme="minorEastAsia" w:hAnsiTheme="minorEastAsia"/>
          <w:szCs w:val="21"/>
        </w:rPr>
        <w:t xml:space="preserve">　　</w:t>
      </w:r>
      <w:r w:rsidRPr="00FC1F8D">
        <w:rPr>
          <w:rFonts w:asciiTheme="minorEastAsia" w:hAnsiTheme="minorEastAsia"/>
          <w:szCs w:val="21"/>
        </w:rPr>
        <w:t>15.</w:t>
      </w:r>
      <w:r w:rsidRPr="00FC1F8D">
        <w:rPr>
          <w:rFonts w:asciiTheme="minorEastAsia" w:hAnsiTheme="minorEastAsia"/>
          <w:szCs w:val="21"/>
        </w:rPr>
        <w:t>探索建立无争议事实记载机制。调解程序终结时，当事人未达成调解协议的，调解员在征得各方当事人同意后，可以用书面形式记载调解过程中双方没有争议的事实，并由当事人签字确认。在诉讼程序中，除涉及国家利益、</w:t>
      </w:r>
      <w:r w:rsidRPr="00FC1F8D">
        <w:rPr>
          <w:rFonts w:asciiTheme="minorEastAsia" w:hAnsiTheme="minorEastAsia"/>
          <w:szCs w:val="21"/>
        </w:rPr>
        <w:t>社会公共利益和他人合法权益的外，当事人无需对调解过程中确认的无争议事实举证。</w:t>
      </w:r>
    </w:p>
    <w:p w:rsidR="008D23D1" w:rsidRPr="00FC1F8D" w:rsidRDefault="0098545A" w:rsidP="00FC1F8D">
      <w:pPr>
        <w:spacing w:line="360" w:lineRule="auto"/>
        <w:rPr>
          <w:rFonts w:asciiTheme="minorEastAsia" w:hAnsiTheme="minorEastAsia"/>
          <w:szCs w:val="21"/>
        </w:rPr>
      </w:pPr>
      <w:r w:rsidRPr="00FC1F8D">
        <w:rPr>
          <w:rFonts w:asciiTheme="minorEastAsia" w:hAnsiTheme="minorEastAsia"/>
          <w:szCs w:val="21"/>
        </w:rPr>
        <w:t xml:space="preserve">　　</w:t>
      </w:r>
      <w:r w:rsidRPr="00FC1F8D">
        <w:rPr>
          <w:rFonts w:asciiTheme="minorEastAsia" w:hAnsiTheme="minorEastAsia"/>
          <w:szCs w:val="21"/>
        </w:rPr>
        <w:t>16.</w:t>
      </w:r>
      <w:r w:rsidRPr="00FC1F8D">
        <w:rPr>
          <w:rFonts w:asciiTheme="minorEastAsia" w:hAnsiTheme="minorEastAsia"/>
          <w:szCs w:val="21"/>
        </w:rPr>
        <w:t>探索建立调解前置程序。有条件的人民法院对证券、期货、基金等适宜调解的纠纷，在征求当事人意愿的基础上，引导当事人在诉讼登记立案前由特邀调解组织或者特邀调解员先行调解。</w:t>
      </w:r>
    </w:p>
    <w:p w:rsidR="008D23D1" w:rsidRPr="00FC1F8D" w:rsidRDefault="0098545A" w:rsidP="00FC1F8D">
      <w:pPr>
        <w:spacing w:line="360" w:lineRule="auto"/>
        <w:rPr>
          <w:rFonts w:asciiTheme="minorEastAsia" w:hAnsiTheme="minorEastAsia"/>
          <w:szCs w:val="21"/>
        </w:rPr>
      </w:pPr>
      <w:r w:rsidRPr="00FC1F8D">
        <w:rPr>
          <w:rFonts w:asciiTheme="minorEastAsia" w:hAnsiTheme="minorEastAsia"/>
          <w:szCs w:val="21"/>
        </w:rPr>
        <w:t xml:space="preserve">　　</w:t>
      </w:r>
      <w:r w:rsidRPr="00FC1F8D">
        <w:rPr>
          <w:rFonts w:asciiTheme="minorEastAsia" w:hAnsiTheme="minorEastAsia"/>
          <w:szCs w:val="21"/>
        </w:rPr>
        <w:t>17.</w:t>
      </w:r>
      <w:r w:rsidRPr="00FC1F8D">
        <w:rPr>
          <w:rFonts w:asciiTheme="minorEastAsia" w:hAnsiTheme="minorEastAsia"/>
          <w:szCs w:val="21"/>
        </w:rPr>
        <w:t>充分运用在线纠纷解决方式开展工作。依托</w:t>
      </w:r>
      <w:r w:rsidRPr="00FC1F8D">
        <w:rPr>
          <w:rFonts w:asciiTheme="minorEastAsia" w:hAnsiTheme="minorEastAsia"/>
          <w:szCs w:val="21"/>
        </w:rPr>
        <w:t>“</w:t>
      </w:r>
      <w:r w:rsidRPr="00FC1F8D">
        <w:rPr>
          <w:rFonts w:asciiTheme="minorEastAsia" w:hAnsiTheme="minorEastAsia"/>
          <w:szCs w:val="21"/>
        </w:rPr>
        <w:t>中国投资者网</w:t>
      </w:r>
      <w:r w:rsidRPr="00FC1F8D">
        <w:rPr>
          <w:rFonts w:asciiTheme="minorEastAsia" w:hAnsiTheme="minorEastAsia"/>
          <w:szCs w:val="21"/>
        </w:rPr>
        <w:t>”</w:t>
      </w:r>
      <w:r w:rsidRPr="00FC1F8D">
        <w:rPr>
          <w:rFonts w:asciiTheme="minorEastAsia" w:hAnsiTheme="minorEastAsia"/>
          <w:szCs w:val="21"/>
        </w:rPr>
        <w:t>（</w:t>
      </w:r>
      <w:r w:rsidRPr="00FC1F8D">
        <w:rPr>
          <w:rFonts w:asciiTheme="minorEastAsia" w:hAnsiTheme="minorEastAsia"/>
          <w:szCs w:val="21"/>
        </w:rPr>
        <w:t>www.investor.gov.cn</w:t>
      </w:r>
      <w:r w:rsidRPr="00FC1F8D">
        <w:rPr>
          <w:rFonts w:asciiTheme="minorEastAsia" w:hAnsiTheme="minorEastAsia"/>
          <w:szCs w:val="21"/>
        </w:rPr>
        <w:t>）建设证券期货纠纷在线解决平台，并与人民法院办案信息平台连通，方便诉讼与调解在线对接。调解组织应当充分运用</w:t>
      </w:r>
      <w:r w:rsidRPr="00FC1F8D">
        <w:rPr>
          <w:rFonts w:asciiTheme="minorEastAsia" w:hAnsiTheme="minorEastAsia"/>
          <w:szCs w:val="21"/>
        </w:rPr>
        <w:t>“</w:t>
      </w:r>
      <w:r w:rsidRPr="00FC1F8D">
        <w:rPr>
          <w:rFonts w:asciiTheme="minorEastAsia" w:hAnsiTheme="minorEastAsia"/>
          <w:szCs w:val="21"/>
        </w:rPr>
        <w:t>中国投资者网</w:t>
      </w:r>
      <w:r w:rsidRPr="00FC1F8D">
        <w:rPr>
          <w:rFonts w:asciiTheme="minorEastAsia" w:hAnsiTheme="minorEastAsia"/>
          <w:szCs w:val="21"/>
        </w:rPr>
        <w:t>”</w:t>
      </w:r>
      <w:r w:rsidRPr="00FC1F8D">
        <w:rPr>
          <w:rFonts w:asciiTheme="minorEastAsia" w:hAnsiTheme="minorEastAsia"/>
          <w:szCs w:val="21"/>
        </w:rPr>
        <w:t>等现代传媒手段，把</w:t>
      </w:r>
      <w:r w:rsidRPr="00FC1F8D">
        <w:rPr>
          <w:rFonts w:asciiTheme="minorEastAsia" w:hAnsiTheme="minorEastAsia"/>
          <w:szCs w:val="21"/>
        </w:rPr>
        <w:t>“</w:t>
      </w:r>
      <w:r w:rsidRPr="00FC1F8D">
        <w:rPr>
          <w:rFonts w:asciiTheme="minorEastAsia" w:hAnsiTheme="minorEastAsia"/>
          <w:szCs w:val="21"/>
        </w:rPr>
        <w:t>面对面</w:t>
      </w:r>
      <w:r w:rsidRPr="00FC1F8D">
        <w:rPr>
          <w:rFonts w:asciiTheme="minorEastAsia" w:hAnsiTheme="minorEastAsia"/>
          <w:szCs w:val="21"/>
        </w:rPr>
        <w:t>”</w:t>
      </w:r>
      <w:r w:rsidRPr="00FC1F8D">
        <w:rPr>
          <w:rFonts w:asciiTheme="minorEastAsia" w:hAnsiTheme="minorEastAsia"/>
          <w:szCs w:val="21"/>
        </w:rPr>
        <w:t>与网络对话、即时化解等方式有机结合，研究制定在线纠纷解决规则，并总结推广远程调解等做法。各级人民法院要借助互联网等现代科技手段，探索开展在线委托或委派调解、调解协议在线司法确认，通过接受相关申请、远程审查和确认、快捷专业服务渠道、电子督促、电子送达等方法方便</w:t>
      </w:r>
      <w:r w:rsidRPr="00FC1F8D">
        <w:rPr>
          <w:rFonts w:asciiTheme="minorEastAsia" w:hAnsiTheme="minorEastAsia"/>
          <w:szCs w:val="21"/>
        </w:rPr>
        <w:t>当事人参与多元化解工作，提高工作质量和效率。</w:t>
      </w:r>
      <w:r w:rsidRPr="00FC1F8D">
        <w:rPr>
          <w:rFonts w:asciiTheme="minorEastAsia" w:hAnsiTheme="minorEastAsia"/>
          <w:szCs w:val="21"/>
        </w:rPr>
        <w:cr/>
      </w:r>
    </w:p>
    <w:p w:rsidR="008D23D1" w:rsidRPr="00FC1F8D" w:rsidRDefault="0098545A" w:rsidP="00FC1F8D">
      <w:pPr>
        <w:spacing w:line="360" w:lineRule="auto"/>
        <w:rPr>
          <w:rFonts w:asciiTheme="minorEastAsia" w:hAnsiTheme="minorEastAsia"/>
          <w:szCs w:val="21"/>
        </w:rPr>
      </w:pPr>
      <w:r w:rsidRPr="00FC1F8D">
        <w:rPr>
          <w:rFonts w:asciiTheme="minorEastAsia" w:hAnsiTheme="minorEastAsia"/>
          <w:szCs w:val="21"/>
        </w:rPr>
        <w:t xml:space="preserve">　　（三）强化纠纷多元化解机制保障落实</w:t>
      </w:r>
    </w:p>
    <w:p w:rsidR="008D23D1" w:rsidRPr="00FC1F8D" w:rsidRDefault="0098545A" w:rsidP="00FC1F8D">
      <w:pPr>
        <w:spacing w:line="360" w:lineRule="auto"/>
        <w:rPr>
          <w:rFonts w:asciiTheme="minorEastAsia" w:hAnsiTheme="minorEastAsia"/>
          <w:szCs w:val="21"/>
        </w:rPr>
      </w:pPr>
      <w:r w:rsidRPr="00FC1F8D">
        <w:rPr>
          <w:rFonts w:asciiTheme="minorEastAsia" w:hAnsiTheme="minorEastAsia"/>
          <w:szCs w:val="21"/>
        </w:rPr>
        <w:t xml:space="preserve">　　</w:t>
      </w:r>
      <w:r w:rsidRPr="00FC1F8D">
        <w:rPr>
          <w:rFonts w:asciiTheme="minorEastAsia" w:hAnsiTheme="minorEastAsia"/>
          <w:szCs w:val="21"/>
        </w:rPr>
        <w:t>18.</w:t>
      </w:r>
      <w:r w:rsidRPr="00FC1F8D">
        <w:rPr>
          <w:rFonts w:asciiTheme="minorEastAsia" w:hAnsiTheme="minorEastAsia"/>
          <w:szCs w:val="21"/>
        </w:rPr>
        <w:t>充分发挥督促程序功能。符合法定条件的调解协议，可以作为当事人向有管辖权的基层人民法院申请支付令的依据。</w:t>
      </w:r>
    </w:p>
    <w:p w:rsidR="008D23D1" w:rsidRPr="00FC1F8D" w:rsidRDefault="0098545A" w:rsidP="00FC1F8D">
      <w:pPr>
        <w:spacing w:line="360" w:lineRule="auto"/>
        <w:rPr>
          <w:rFonts w:asciiTheme="minorEastAsia" w:hAnsiTheme="minorEastAsia"/>
          <w:szCs w:val="21"/>
        </w:rPr>
      </w:pPr>
      <w:r w:rsidRPr="00FC1F8D">
        <w:rPr>
          <w:rFonts w:asciiTheme="minorEastAsia" w:hAnsiTheme="minorEastAsia"/>
          <w:szCs w:val="21"/>
        </w:rPr>
        <w:t xml:space="preserve">　　</w:t>
      </w:r>
      <w:r w:rsidRPr="00FC1F8D">
        <w:rPr>
          <w:rFonts w:asciiTheme="minorEastAsia" w:hAnsiTheme="minorEastAsia"/>
          <w:szCs w:val="21"/>
        </w:rPr>
        <w:t>19.</w:t>
      </w:r>
      <w:r w:rsidRPr="00FC1F8D">
        <w:rPr>
          <w:rFonts w:asciiTheme="minorEastAsia" w:hAnsiTheme="minorEastAsia"/>
          <w:szCs w:val="21"/>
        </w:rPr>
        <w:t>调解协议所涉纠纷的司法审理范围。当事人就调解协议的履行或者调解协议的内容发生争议的，可以就调解协议问题向人民法院提起诉讼，人民法院按照合同纠纷进行审理。当事人一方以原纠纷向人民法院提起诉讼，对方当事人以调解协议抗辩并提供调解协议书的，人民法院应当就调解协议的内容进行审理。</w:t>
      </w:r>
    </w:p>
    <w:p w:rsidR="008D23D1" w:rsidRPr="00FC1F8D" w:rsidRDefault="0098545A" w:rsidP="00FC1F8D">
      <w:pPr>
        <w:spacing w:line="360" w:lineRule="auto"/>
        <w:rPr>
          <w:rFonts w:asciiTheme="minorEastAsia" w:hAnsiTheme="minorEastAsia"/>
          <w:szCs w:val="21"/>
        </w:rPr>
      </w:pPr>
      <w:r w:rsidRPr="00FC1F8D">
        <w:rPr>
          <w:rFonts w:asciiTheme="minorEastAsia" w:hAnsiTheme="minorEastAsia"/>
          <w:szCs w:val="21"/>
        </w:rPr>
        <w:t xml:space="preserve">　　</w:t>
      </w:r>
      <w:r w:rsidRPr="00FC1F8D">
        <w:rPr>
          <w:rFonts w:asciiTheme="minorEastAsia" w:hAnsiTheme="minorEastAsia"/>
          <w:szCs w:val="21"/>
        </w:rPr>
        <w:t>20.</w:t>
      </w:r>
      <w:r w:rsidRPr="00FC1F8D">
        <w:rPr>
          <w:rFonts w:asciiTheme="minorEastAsia" w:hAnsiTheme="minorEastAsia"/>
          <w:szCs w:val="21"/>
        </w:rPr>
        <w:t>加大对多元</w:t>
      </w:r>
      <w:r w:rsidRPr="00FC1F8D">
        <w:rPr>
          <w:rFonts w:asciiTheme="minorEastAsia" w:hAnsiTheme="minorEastAsia"/>
          <w:szCs w:val="21"/>
        </w:rPr>
        <w:t>化解机制的监管支持力度。投资者申请采用调解方式解决纠纷的，证券期货市场经营主体应当积极参与调解，配合人民法院、调解组织查明事实。对于证券期货市场经营主体无正当理由拒不履行已达成的调解协议的，证券期货监管机构应当依法记入证券期货市场诚信档案数据库。</w:t>
      </w:r>
    </w:p>
    <w:p w:rsidR="008D23D1" w:rsidRPr="00FC1F8D" w:rsidRDefault="0098545A" w:rsidP="00FC1F8D">
      <w:pPr>
        <w:spacing w:line="360" w:lineRule="auto"/>
        <w:rPr>
          <w:rFonts w:asciiTheme="minorEastAsia" w:hAnsiTheme="minorEastAsia"/>
          <w:szCs w:val="21"/>
        </w:rPr>
      </w:pPr>
      <w:r w:rsidRPr="00FC1F8D">
        <w:rPr>
          <w:rFonts w:asciiTheme="minorEastAsia" w:hAnsiTheme="minorEastAsia"/>
          <w:szCs w:val="21"/>
        </w:rPr>
        <w:lastRenderedPageBreak/>
        <w:t xml:space="preserve">　　</w:t>
      </w:r>
      <w:r w:rsidRPr="00FC1F8D">
        <w:rPr>
          <w:rFonts w:asciiTheme="minorEastAsia" w:hAnsiTheme="minorEastAsia"/>
          <w:szCs w:val="21"/>
        </w:rPr>
        <w:t>21.</w:t>
      </w:r>
      <w:r w:rsidRPr="00FC1F8D">
        <w:rPr>
          <w:rFonts w:asciiTheme="minorEastAsia" w:hAnsiTheme="minorEastAsia"/>
          <w:szCs w:val="21"/>
        </w:rPr>
        <w:t>加强执法联动，严厉打击损害投资者合法权益的行为。人民法院和证券期货监管机构应当充分发挥各自职能优势，对损毁证据、转移财产等可能损害投资者合法权益的行为，依法及时采取保全措施。对工作中发现的违法、违规行为，及时予以查处；涉嫌犯罪的，依法移送有关司法机关处</w:t>
      </w:r>
      <w:r w:rsidRPr="00FC1F8D">
        <w:rPr>
          <w:rFonts w:asciiTheme="minorEastAsia" w:hAnsiTheme="minorEastAsia"/>
          <w:szCs w:val="21"/>
        </w:rPr>
        <w:t>理。</w:t>
      </w:r>
    </w:p>
    <w:p w:rsidR="008D23D1" w:rsidRPr="00FC1F8D" w:rsidRDefault="0098545A" w:rsidP="00FC1F8D">
      <w:pPr>
        <w:spacing w:line="360" w:lineRule="auto"/>
        <w:rPr>
          <w:rFonts w:asciiTheme="minorEastAsia" w:hAnsiTheme="minorEastAsia"/>
          <w:szCs w:val="21"/>
        </w:rPr>
      </w:pPr>
      <w:r w:rsidRPr="00FC1F8D">
        <w:rPr>
          <w:rFonts w:asciiTheme="minorEastAsia" w:hAnsiTheme="minorEastAsia"/>
          <w:szCs w:val="21"/>
        </w:rPr>
        <w:t xml:space="preserve">　　</w:t>
      </w:r>
      <w:r w:rsidRPr="00FC1F8D">
        <w:rPr>
          <w:rFonts w:asciiTheme="minorEastAsia" w:hAnsiTheme="minorEastAsia"/>
          <w:szCs w:val="21"/>
        </w:rPr>
        <w:t>22.</w:t>
      </w:r>
      <w:r w:rsidRPr="00FC1F8D">
        <w:rPr>
          <w:rFonts w:asciiTheme="minorEastAsia" w:hAnsiTheme="minorEastAsia"/>
          <w:szCs w:val="21"/>
        </w:rPr>
        <w:t>加强经费保障和人员培训。证券期货监管机构、行业自律组织等应当为建立健全证券期货纠纷多元化解机制提供必要的人员、经费和物质保障，加大对调解员的培训力度；有条件的人民法院应当提供专门处理证券期货纠纷的调解室，供特邀调解组织、调解员开展工作。建立人民法院与证券期货监管机构多层次联合培训机制，不断加强业务交流的广度和深度。</w:t>
      </w:r>
      <w:r w:rsidRPr="00FC1F8D">
        <w:rPr>
          <w:rFonts w:asciiTheme="minorEastAsia" w:hAnsiTheme="minorEastAsia"/>
          <w:szCs w:val="21"/>
        </w:rPr>
        <w:cr/>
      </w:r>
    </w:p>
    <w:p w:rsidR="008D23D1" w:rsidRPr="00FC1F8D" w:rsidRDefault="0098545A" w:rsidP="00FC1F8D">
      <w:pPr>
        <w:spacing w:line="360" w:lineRule="auto"/>
        <w:rPr>
          <w:rFonts w:asciiTheme="minorEastAsia" w:hAnsiTheme="minorEastAsia"/>
          <w:szCs w:val="21"/>
        </w:rPr>
      </w:pPr>
      <w:r w:rsidRPr="00FC1F8D">
        <w:rPr>
          <w:rFonts w:asciiTheme="minorEastAsia" w:hAnsiTheme="minorEastAsia"/>
          <w:szCs w:val="21"/>
        </w:rPr>
        <w:t>四、工作要求</w:t>
      </w:r>
    </w:p>
    <w:p w:rsidR="008D23D1" w:rsidRPr="00FC1F8D" w:rsidRDefault="0098545A" w:rsidP="00FC1F8D">
      <w:pPr>
        <w:spacing w:line="360" w:lineRule="auto"/>
        <w:rPr>
          <w:rFonts w:asciiTheme="minorEastAsia" w:hAnsiTheme="minorEastAsia"/>
          <w:szCs w:val="21"/>
        </w:rPr>
      </w:pPr>
      <w:r w:rsidRPr="00FC1F8D">
        <w:rPr>
          <w:rFonts w:asciiTheme="minorEastAsia" w:hAnsiTheme="minorEastAsia"/>
          <w:szCs w:val="21"/>
        </w:rPr>
        <w:t xml:space="preserve">　　</w:t>
      </w:r>
      <w:r w:rsidRPr="00FC1F8D">
        <w:rPr>
          <w:rFonts w:asciiTheme="minorEastAsia" w:hAnsiTheme="minorEastAsia"/>
          <w:szCs w:val="21"/>
        </w:rPr>
        <w:t>23.</w:t>
      </w:r>
      <w:r w:rsidRPr="00FC1F8D">
        <w:rPr>
          <w:rFonts w:asciiTheme="minorEastAsia" w:hAnsiTheme="minorEastAsia"/>
          <w:szCs w:val="21"/>
        </w:rPr>
        <w:t>建立证券期货纠纷多元化解协调机制。各高级人民法院和证券期货监管机构应当各自指定联系部门和联系人，对工作中遇到的问题加强协调；强化沟通联系和信息共享，</w:t>
      </w:r>
      <w:r w:rsidRPr="00FC1F8D">
        <w:rPr>
          <w:rFonts w:asciiTheme="minorEastAsia" w:hAnsiTheme="minorEastAsia"/>
          <w:szCs w:val="21"/>
        </w:rPr>
        <w:t>构建完善的证券期货纠纷排查预警机制，防止矛盾纠纷积累激化。</w:t>
      </w:r>
    </w:p>
    <w:p w:rsidR="008D23D1" w:rsidRPr="00FC1F8D" w:rsidRDefault="0098545A" w:rsidP="00FC1F8D">
      <w:pPr>
        <w:spacing w:line="360" w:lineRule="auto"/>
        <w:rPr>
          <w:rFonts w:asciiTheme="minorEastAsia" w:hAnsiTheme="minorEastAsia"/>
          <w:szCs w:val="21"/>
        </w:rPr>
      </w:pPr>
      <w:r w:rsidRPr="00FC1F8D">
        <w:rPr>
          <w:rFonts w:asciiTheme="minorEastAsia" w:hAnsiTheme="minorEastAsia"/>
          <w:szCs w:val="21"/>
        </w:rPr>
        <w:t xml:space="preserve">　　</w:t>
      </w:r>
      <w:r w:rsidRPr="00FC1F8D">
        <w:rPr>
          <w:rFonts w:asciiTheme="minorEastAsia" w:hAnsiTheme="minorEastAsia"/>
          <w:szCs w:val="21"/>
        </w:rPr>
        <w:t>24.</w:t>
      </w:r>
      <w:r w:rsidRPr="00FC1F8D">
        <w:rPr>
          <w:rFonts w:asciiTheme="minorEastAsia" w:hAnsiTheme="minorEastAsia"/>
          <w:szCs w:val="21"/>
        </w:rPr>
        <w:t>加强宣传和投资者教育工作。人民法院和证券期货监管机构、行业自律组织、投资者保护专门机构、调解组织应当通过多种途径，及时总结和宣传典型案例，发挥示范教育作用；加大对证券期货纠纷多元化解机制的宣传力度，增进各方对多元化解机制的认识，引导中小投资者转变观念、理性维权。</w:t>
      </w:r>
    </w:p>
    <w:p w:rsidR="008D23D1" w:rsidRDefault="0098545A" w:rsidP="00FC1F8D">
      <w:pPr>
        <w:spacing w:line="360" w:lineRule="auto"/>
      </w:pPr>
      <w:r w:rsidRPr="00FC1F8D">
        <w:rPr>
          <w:rFonts w:asciiTheme="minorEastAsia" w:hAnsiTheme="minorEastAsia"/>
          <w:szCs w:val="21"/>
        </w:rPr>
        <w:t xml:space="preserve">　　</w:t>
      </w:r>
      <w:r w:rsidRPr="00FC1F8D">
        <w:rPr>
          <w:rFonts w:asciiTheme="minorEastAsia" w:hAnsiTheme="minorEastAsia"/>
          <w:szCs w:val="21"/>
        </w:rPr>
        <w:t>25.</w:t>
      </w:r>
      <w:r w:rsidRPr="00FC1F8D">
        <w:rPr>
          <w:rFonts w:asciiTheme="minorEastAsia" w:hAnsiTheme="minorEastAsia"/>
          <w:szCs w:val="21"/>
        </w:rPr>
        <w:t>加强监督、指导、协调和管理。最高人民法院民事审判第二庭与中国证券监督管理委员会投资者保护局成立证券期货纠纷多元化解机制工作小组，具体负责证券期货纠纷多元化解机制建设</w:t>
      </w:r>
      <w:r w:rsidRPr="00FC1F8D">
        <w:rPr>
          <w:rFonts w:asciiTheme="minorEastAsia" w:hAnsiTheme="minorEastAsia"/>
          <w:szCs w:val="21"/>
        </w:rPr>
        <w:t>的指导和协调工作。各高级人民法院要指导、督促、检查辖区内人民法院落实好证券期货多元化解机制各项工作要求。中国证券监督管理委员会负责监督指导各调解组织工作；各派出机构负责督促辖区内相关调解组织加强内部管理和规范运作，指导并支持各调解组织在本辖区开展工作。地方各级人民法院和证券期货监管机构应当将工作情况和遇到的问题，及时层报最高人民法院和中国证券监督管理委员会。</w:t>
      </w:r>
      <w:r w:rsidRPr="00FC1F8D">
        <w:rPr>
          <w:rFonts w:asciiTheme="minorEastAsia" w:hAnsiTheme="minorEastAsia"/>
          <w:szCs w:val="21"/>
        </w:rPr>
        <w:cr/>
      </w:r>
    </w:p>
    <w:sectPr w:rsidR="008D23D1" w:rsidSect="008D23D1">
      <w:footerReference w:type="default" r:id="rId6"/>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45A" w:rsidRDefault="0098545A" w:rsidP="008D23D1">
      <w:r>
        <w:separator/>
      </w:r>
    </w:p>
  </w:endnote>
  <w:endnote w:type="continuationSeparator" w:id="1">
    <w:p w:rsidR="0098545A" w:rsidRDefault="0098545A" w:rsidP="008D23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3D1" w:rsidRDefault="0098545A">
    <w:pPr>
      <w:pBdr>
        <w:top w:val="thick" w:sz="0" w:space="0" w:color="auto"/>
      </w:pBdr>
      <w:jc w:val="center"/>
      <w:textAlignment w:val="center"/>
    </w:pPr>
    <w:r>
      <w:rPr>
        <w:rFonts w:ascii="微软雅黑" w:eastAsia="微软雅黑" w:hAnsi="微软雅黑"/>
        <w:sz w:val="24"/>
      </w:rPr>
      <w:t>第</w:t>
    </w:r>
    <w:r w:rsidR="008D23D1" w:rsidRPr="008D23D1">
      <w:fldChar w:fldCharType="begin"/>
    </w:r>
    <w:r>
      <w:rPr>
        <w:rFonts w:ascii="微软雅黑" w:eastAsia="微软雅黑" w:hAnsi="微软雅黑"/>
        <w:sz w:val="24"/>
      </w:rPr>
      <w:instrText>PAGE  \</w:instrText>
    </w:r>
    <w:r>
      <w:rPr>
        <w:rFonts w:ascii="微软雅黑" w:eastAsia="微软雅黑" w:hAnsi="微软雅黑"/>
        <w:sz w:val="24"/>
      </w:rPr>
      <w:instrText>* MERGEFORMAT</w:instrText>
    </w:r>
    <w:r w:rsidR="00FC1F8D">
      <w:fldChar w:fldCharType="separate"/>
    </w:r>
    <w:r w:rsidR="00FC1F8D">
      <w:rPr>
        <w:rFonts w:ascii="微软雅黑" w:eastAsia="微软雅黑" w:hAnsi="微软雅黑"/>
        <w:noProof/>
        <w:sz w:val="24"/>
      </w:rPr>
      <w:t>1</w:t>
    </w:r>
    <w:r w:rsidR="008D23D1">
      <w:rPr>
        <w:rFonts w:ascii="微软雅黑" w:eastAsia="微软雅黑" w:hAnsi="微软雅黑"/>
        <w:sz w:val="24"/>
      </w:rPr>
      <w:fldChar w:fldCharType="end"/>
    </w:r>
    <w:r>
      <w:rPr>
        <w:rFonts w:ascii="微软雅黑" w:eastAsia="微软雅黑" w:hAnsi="微软雅黑"/>
        <w:sz w:val="24"/>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45A" w:rsidRDefault="0098545A" w:rsidP="008D23D1">
      <w:r>
        <w:separator/>
      </w:r>
    </w:p>
  </w:footnote>
  <w:footnote w:type="continuationSeparator" w:id="1">
    <w:p w:rsidR="0098545A" w:rsidRDefault="0098545A" w:rsidP="008D23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characterSpacingControl w:val="doNotCompress"/>
  <w:hdrShapeDefaults>
    <o:shapedefaults v:ext="edit" spidmax="3074"/>
  </w:hdrShapeDefaults>
  <w:footnotePr>
    <w:footnote w:id="0"/>
    <w:footnote w:id="1"/>
  </w:footnotePr>
  <w:endnotePr>
    <w:endnote w:id="0"/>
    <w:endnote w:id="1"/>
  </w:endnotePr>
  <w:compat>
    <w:useFELayout/>
  </w:compat>
  <w:rsids>
    <w:rsidRoot w:val="008D23D1"/>
    <w:rsid w:val="008D23D1"/>
    <w:rsid w:val="0098545A"/>
    <w:rsid w:val="00FC1F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uiPriority w:val="1"/>
    <w:unhideWhenUsed/>
    <w:qFormat/>
    <w:rsid w:val="008D23D1"/>
    <w:pPr>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1F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C1F8D"/>
    <w:rPr>
      <w:sz w:val="18"/>
      <w:szCs w:val="18"/>
    </w:rPr>
  </w:style>
  <w:style w:type="paragraph" w:styleId="a4">
    <w:name w:val="footer"/>
    <w:basedOn w:val="a"/>
    <w:link w:val="Char0"/>
    <w:uiPriority w:val="99"/>
    <w:semiHidden/>
    <w:unhideWhenUsed/>
    <w:rsid w:val="00FC1F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C1F8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530</Words>
  <Characters>3026</Characters>
  <Application>Microsoft Office Word</Application>
  <DocSecurity>0</DocSecurity>
  <Lines>25</Lines>
  <Paragraphs>7</Paragraphs>
  <ScaleCrop>false</ScaleCrop>
  <Company/>
  <LinksUpToDate>false</LinksUpToDate>
  <CharactersWithSpaces>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黄浩</cp:lastModifiedBy>
  <cp:revision>2</cp:revision>
  <dcterms:created xsi:type="dcterms:W3CDTF">2020-05-28T09:17:00Z</dcterms:created>
  <dcterms:modified xsi:type="dcterms:W3CDTF">2020-05-28T09:18:00Z</dcterms:modified>
</cp:coreProperties>
</file>